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BC1181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BC1181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D2E67"/>
    <w:rsid w:val="009420EB"/>
    <w:rsid w:val="00B6147E"/>
    <w:rsid w:val="00B75164"/>
    <w:rsid w:val="00BC1181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2014-08-13T17:57:00Z</dcterms:modified>
</cp:coreProperties>
</file>